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98EA1" w14:textId="77777777" w:rsidR="0029483A" w:rsidRPr="00A5408F" w:rsidRDefault="0029483A" w:rsidP="001111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18B3C" w14:textId="77777777" w:rsidR="004770DB" w:rsidRPr="00942690" w:rsidRDefault="004770DB" w:rsidP="004770D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45B3BA2F" w14:textId="77777777" w:rsidR="0029483A" w:rsidRPr="00942690" w:rsidRDefault="0029483A" w:rsidP="001111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FA7D36" w14:textId="77777777" w:rsidR="0029483A" w:rsidRDefault="0029483A" w:rsidP="0029483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42F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16A235D2" w14:textId="5351B39E" w:rsidR="0029483A" w:rsidRPr="001E2A32" w:rsidRDefault="0029483A" w:rsidP="0029483A">
      <w:pPr>
        <w:pStyle w:val="1"/>
        <w:rPr>
          <w:sz w:val="24"/>
          <w:szCs w:val="24"/>
        </w:rPr>
      </w:pPr>
      <w:r w:rsidRPr="002A3C2E">
        <w:rPr>
          <w:sz w:val="24"/>
          <w:szCs w:val="24"/>
        </w:rPr>
        <w:t>на</w:t>
      </w:r>
      <w:r w:rsidR="000332A2">
        <w:rPr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разработку </w:t>
      </w:r>
      <w:r w:rsidRPr="002A3C2E">
        <w:rPr>
          <w:sz w:val="24"/>
          <w:szCs w:val="24"/>
        </w:rPr>
        <w:t>проектно-сметной документации по объекту</w:t>
      </w:r>
      <w:r>
        <w:rPr>
          <w:sz w:val="24"/>
          <w:szCs w:val="24"/>
        </w:rPr>
        <w:t>:</w:t>
      </w:r>
    </w:p>
    <w:p w14:paraId="67F76B6A" w14:textId="0E5CF03B" w:rsidR="0029483A" w:rsidRPr="001E2A32" w:rsidRDefault="0029483A" w:rsidP="0029483A">
      <w:pPr>
        <w:jc w:val="center"/>
        <w:rPr>
          <w:rFonts w:ascii="Times New Roman" w:hAnsi="Times New Roman" w:cs="Times New Roman"/>
          <w:sz w:val="24"/>
          <w:szCs w:val="24"/>
        </w:rPr>
      </w:pPr>
      <w:r w:rsidRPr="001E2A32">
        <w:rPr>
          <w:rFonts w:ascii="Times New Roman" w:hAnsi="Times New Roman" w:cs="Times New Roman"/>
          <w:b/>
          <w:sz w:val="24"/>
          <w:szCs w:val="24"/>
        </w:rPr>
        <w:t>«Детская поликлиника на 200 посещений в смену».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698"/>
        <w:gridCol w:w="8"/>
        <w:gridCol w:w="6537"/>
      </w:tblGrid>
      <w:tr w:rsidR="0029483A" w:rsidRPr="00BF42F8" w14:paraId="7147D212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19E0AF35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5BAE34BB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739" w:type="dxa"/>
            <w:gridSpan w:val="2"/>
          </w:tcPr>
          <w:p w14:paraId="4529D7C7" w14:textId="77777777" w:rsidR="0029483A" w:rsidRPr="00BF42F8" w:rsidRDefault="0029483A" w:rsidP="008C0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29483A" w:rsidRPr="00BF42F8" w14:paraId="161254D2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04CC1DD8" w14:textId="73EEFF55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25A1AD9B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739" w:type="dxa"/>
            <w:gridSpan w:val="2"/>
          </w:tcPr>
          <w:p w14:paraId="468DC762" w14:textId="77777777" w:rsidR="0029483A" w:rsidRPr="00D86FCE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Сейсмичность района – 7</w:t>
            </w:r>
            <w:r w:rsidRPr="00D86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  <w:p w14:paraId="4826DDA8" w14:textId="77777777" w:rsidR="0029483A" w:rsidRPr="00BF42F8" w:rsidRDefault="0029483A" w:rsidP="008C02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83A" w:rsidRPr="00BF42F8" w14:paraId="0C41C31D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584CA726" w14:textId="32C65332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0FB532C0" w14:textId="77777777" w:rsidR="0029483A" w:rsidRPr="002E20BA" w:rsidRDefault="0029483A" w:rsidP="008C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739" w:type="dxa"/>
            <w:gridSpan w:val="2"/>
          </w:tcPr>
          <w:p w14:paraId="3568B057" w14:textId="77777777" w:rsidR="0029483A" w:rsidRPr="002E20BA" w:rsidRDefault="0029483A" w:rsidP="008C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ГКУ РХ</w:t>
            </w: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УКС»</w:t>
            </w:r>
          </w:p>
        </w:tc>
      </w:tr>
      <w:tr w:rsidR="0029483A" w:rsidRPr="00BF42F8" w14:paraId="506D6654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51E6EA47" w14:textId="7D726D9E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22B68F38" w14:textId="77777777" w:rsidR="0029483A" w:rsidRPr="002E20BA" w:rsidRDefault="0029483A" w:rsidP="008C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0B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объектов</w:t>
            </w:r>
          </w:p>
        </w:tc>
        <w:tc>
          <w:tcPr>
            <w:tcW w:w="6739" w:type="dxa"/>
            <w:gridSpan w:val="2"/>
          </w:tcPr>
          <w:p w14:paraId="50A1209F" w14:textId="77777777" w:rsidR="0029483A" w:rsidRPr="002E20BA" w:rsidRDefault="0029483A" w:rsidP="008C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здравоохранения</w:t>
            </w:r>
          </w:p>
        </w:tc>
      </w:tr>
      <w:tr w:rsidR="0029483A" w:rsidRPr="00BF42F8" w14:paraId="480926E9" w14:textId="77777777" w:rsidTr="008C02C1">
        <w:tc>
          <w:tcPr>
            <w:tcW w:w="10030" w:type="dxa"/>
            <w:gridSpan w:val="4"/>
          </w:tcPr>
          <w:p w14:paraId="35242E18" w14:textId="77777777" w:rsidR="0029483A" w:rsidRDefault="0029483A" w:rsidP="008C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Выполнение проектно-сметных работ</w:t>
            </w:r>
          </w:p>
        </w:tc>
      </w:tr>
      <w:tr w:rsidR="0029483A" w:rsidRPr="00BF42F8" w14:paraId="6C62E768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22268A78" w14:textId="336D0B2D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3B9ADE8F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739" w:type="dxa"/>
            <w:gridSpan w:val="2"/>
          </w:tcPr>
          <w:p w14:paraId="3F58D9EF" w14:textId="3797A70A" w:rsidR="0029483A" w:rsidRPr="00BF42F8" w:rsidRDefault="00BD7B16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9483A"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роектн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29483A"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29483A"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выполнить в соответствии с Постановлением Правительства Российской Федерации от 16 февраля 2008 года №87 «О составе разделов проектной документации и требованиях к их содержанию» и Федеральным законом от 23.11.2009 №261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      </w:r>
          </w:p>
          <w:p w14:paraId="7C8744AF" w14:textId="75874CD0" w:rsidR="0029483A" w:rsidRPr="00BD7B16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Рабочую документацию выполнить в объеме, необходимом для качественного выполнения строительно-монтажных работ, согласно ГОСТ Р 21.1101-2013 «Основные требования к проектной и рабочей документации».</w:t>
            </w:r>
          </w:p>
        </w:tc>
      </w:tr>
      <w:tr w:rsidR="0029483A" w:rsidRPr="00BF42F8" w14:paraId="066C0222" w14:textId="77777777" w:rsidTr="008C02C1">
        <w:trPr>
          <w:trHeight w:val="415"/>
        </w:trPr>
        <w:tc>
          <w:tcPr>
            <w:tcW w:w="567" w:type="dxa"/>
            <w:tcBorders>
              <w:right w:val="single" w:sz="4" w:space="0" w:color="auto"/>
            </w:tcBorders>
          </w:tcPr>
          <w:p w14:paraId="2954681C" w14:textId="6F510BB0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262AC03B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Исходно-разрешительная документация</w:t>
            </w:r>
          </w:p>
        </w:tc>
        <w:tc>
          <w:tcPr>
            <w:tcW w:w="6739" w:type="dxa"/>
            <w:gridSpan w:val="2"/>
          </w:tcPr>
          <w:p w14:paraId="511D6AE7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1.Правоустанавливающие документы на земельный участок и объект капитального строительства.</w:t>
            </w:r>
          </w:p>
          <w:p w14:paraId="709B0717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2. Градостроительный план земельного участка.</w:t>
            </w:r>
          </w:p>
        </w:tc>
      </w:tr>
      <w:tr w:rsidR="0029483A" w:rsidRPr="00BF42F8" w14:paraId="081982E8" w14:textId="77777777" w:rsidTr="008C02C1">
        <w:trPr>
          <w:trHeight w:val="416"/>
        </w:trPr>
        <w:tc>
          <w:tcPr>
            <w:tcW w:w="567" w:type="dxa"/>
            <w:tcBorders>
              <w:right w:val="single" w:sz="4" w:space="0" w:color="auto"/>
            </w:tcBorders>
          </w:tcPr>
          <w:p w14:paraId="789A80BB" w14:textId="3D2DAA31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5A49707B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технико-экономические показатели объекта</w:t>
            </w:r>
          </w:p>
        </w:tc>
        <w:tc>
          <w:tcPr>
            <w:tcW w:w="6739" w:type="dxa"/>
            <w:gridSpan w:val="2"/>
            <w:shd w:val="clear" w:color="auto" w:fill="auto"/>
          </w:tcPr>
          <w:p w14:paraId="4E6D03E9" w14:textId="77777777" w:rsidR="0029483A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земельного участка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36 158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м2.</w:t>
            </w:r>
          </w:p>
          <w:p w14:paraId="473BEAB2" w14:textId="77777777" w:rsidR="0029483A" w:rsidRPr="00976D20" w:rsidRDefault="0029483A" w:rsidP="008C02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6D20">
              <w:rPr>
                <w:rFonts w:ascii="Times New Roman" w:hAnsi="Times New Roman"/>
                <w:b/>
                <w:sz w:val="24"/>
                <w:szCs w:val="24"/>
              </w:rPr>
              <w:t>1. Основные сведения об объекте</w:t>
            </w:r>
          </w:p>
          <w:p w14:paraId="60A77B77" w14:textId="77777777" w:rsidR="0029483A" w:rsidRPr="00976D20" w:rsidRDefault="0029483A" w:rsidP="008C02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   Детское поликлиническое отделение рассчитан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на мощность 200 посещений    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в смену. Детское поликлиническое подразделение предназначено для оказания первичной медико-санитарной помощи, первичной специализированной медицинской помощи по основным профилям: детская кардиология, детская неврология, акушерство и гинекология, хирургия, травматология и ортопедия, урология-андрология, эндокринология, оториноларингология, офтальмология, инфекционные болезни, дерматовенерология, фтизиатрия, стоматология, психиатрия-наркология, клиническая лабораторная диагностика, ультразвуковая диагностика, функциональная диагностика, эндоскопия, рентгенология. Численность обслуживаемого детского населения 16849 чел. </w:t>
            </w:r>
          </w:p>
          <w:p w14:paraId="1438650A" w14:textId="77777777" w:rsidR="0029483A" w:rsidRPr="00976D20" w:rsidRDefault="0029483A" w:rsidP="008C02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6D20">
              <w:rPr>
                <w:rFonts w:ascii="Times New Roman" w:hAnsi="Times New Roman"/>
                <w:b/>
                <w:sz w:val="24"/>
                <w:szCs w:val="24"/>
              </w:rPr>
              <w:t>2. Состав детского поликлинического отделения:</w:t>
            </w:r>
          </w:p>
          <w:p w14:paraId="5288FE2F" w14:textId="77777777" w:rsidR="0029483A" w:rsidRPr="00976D20" w:rsidRDefault="0029483A" w:rsidP="008C02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общие помещения;</w:t>
            </w:r>
          </w:p>
          <w:p w14:paraId="6C8C2AD6" w14:textId="77777777" w:rsidR="0029483A" w:rsidRPr="00976D20" w:rsidRDefault="0029483A" w:rsidP="008C02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лечебно-профилактические помещения;</w:t>
            </w:r>
          </w:p>
          <w:p w14:paraId="585444CF" w14:textId="77777777" w:rsidR="0029483A" w:rsidRPr="00976D20" w:rsidRDefault="0029483A" w:rsidP="008C02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lastRenderedPageBreak/>
              <w:t>- рентген-кабинет;</w:t>
            </w:r>
          </w:p>
          <w:p w14:paraId="33E096C9" w14:textId="77777777" w:rsidR="0029483A" w:rsidRPr="00976D20" w:rsidRDefault="0029483A" w:rsidP="008C02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эндоскопический кабинет;</w:t>
            </w:r>
          </w:p>
          <w:p w14:paraId="4A0571D7" w14:textId="77777777" w:rsidR="0029483A" w:rsidRPr="00976D20" w:rsidRDefault="0029483A" w:rsidP="008C02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кабинет ультразвуковых исследований;</w:t>
            </w:r>
          </w:p>
          <w:p w14:paraId="4DED1042" w14:textId="77777777" w:rsidR="0029483A" w:rsidRPr="00976D20" w:rsidRDefault="0029483A" w:rsidP="008C02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кабинет функциональной диагностики;</w:t>
            </w:r>
          </w:p>
          <w:p w14:paraId="1A9594F0" w14:textId="77777777" w:rsidR="0029483A" w:rsidRPr="00976D20" w:rsidRDefault="0029483A" w:rsidP="008C02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клинико-диагностическая лаборатория;</w:t>
            </w:r>
          </w:p>
          <w:p w14:paraId="777F704F" w14:textId="77777777" w:rsidR="0029483A" w:rsidRPr="00976D20" w:rsidRDefault="0029483A" w:rsidP="008C02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>- физиотерапевтический кабинет;</w:t>
            </w:r>
          </w:p>
          <w:p w14:paraId="6F047E95" w14:textId="77777777" w:rsidR="0029483A" w:rsidRPr="00976D20" w:rsidRDefault="0029483A" w:rsidP="008C02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- служебно-бытовые помещения. </w:t>
            </w:r>
          </w:p>
          <w:p w14:paraId="1A790BF3" w14:textId="77777777" w:rsidR="0029483A" w:rsidRPr="00976D20" w:rsidRDefault="0029483A" w:rsidP="008C0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CC1975" w14:textId="77777777" w:rsidR="0029483A" w:rsidRPr="00976D20" w:rsidRDefault="0029483A" w:rsidP="008C02C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6D20">
              <w:rPr>
                <w:rFonts w:ascii="Times New Roman" w:hAnsi="Times New Roman"/>
                <w:b/>
                <w:sz w:val="24"/>
                <w:szCs w:val="24"/>
              </w:rPr>
              <w:t>3. Основные технологические и объемно-планировочные решения</w:t>
            </w:r>
          </w:p>
          <w:p w14:paraId="20F96F7A" w14:textId="77777777" w:rsidR="0029483A" w:rsidRDefault="0029483A" w:rsidP="008C02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Здание детского поликлинического отделения 2-х этажное с цокольным этажом. </w:t>
            </w:r>
          </w:p>
          <w:p w14:paraId="1C366A39" w14:textId="77777777" w:rsidR="0029483A" w:rsidRPr="00976D20" w:rsidRDefault="0029483A" w:rsidP="008C02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Электроснабжение должно осуществляться по 1 категории, аварийное электроснабжение – от независимого источника (дизельная электростанция для обеспечения 1-й категории, аккумуляторный источник питания для указателей эвакуационного освещения).                                                                                         </w:t>
            </w:r>
          </w:p>
          <w:p w14:paraId="6E95CA72" w14:textId="77777777" w:rsidR="0029483A" w:rsidRPr="00976D20" w:rsidRDefault="0029483A" w:rsidP="008C02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Архитектурно-планировочные решения здания детского поликлинического отделения должны обеспечивать </w:t>
            </w:r>
            <w:proofErr w:type="spellStart"/>
            <w:r w:rsidRPr="00976D20">
              <w:rPr>
                <w:rFonts w:ascii="Times New Roman" w:hAnsi="Times New Roman"/>
                <w:sz w:val="24"/>
                <w:szCs w:val="24"/>
              </w:rPr>
              <w:t>оптимальныйсанитарно</w:t>
            </w:r>
            <w:proofErr w:type="spellEnd"/>
            <w:r w:rsidRPr="00976D20">
              <w:rPr>
                <w:rFonts w:ascii="Times New Roman" w:hAnsi="Times New Roman"/>
                <w:sz w:val="24"/>
                <w:szCs w:val="24"/>
              </w:rPr>
              <w:t xml:space="preserve">-гигиенический, противоэпидемиологический и противопожарный режимы и комфортные условия пребывания больных, труда и отдыха медицинского и технического персонала. </w:t>
            </w:r>
          </w:p>
          <w:p w14:paraId="03846B08" w14:textId="77777777" w:rsidR="0029483A" w:rsidRPr="00976D20" w:rsidRDefault="0029483A" w:rsidP="008C02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При проектировании обеспечить нормируемые показатели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икроклимата 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и кратности воздухообмена в помещениях по СанПиН 2.3.1.2630-10. </w:t>
            </w:r>
          </w:p>
          <w:p w14:paraId="0A0ACFE0" w14:textId="77777777" w:rsidR="0029483A" w:rsidRPr="00976D20" w:rsidRDefault="0029483A" w:rsidP="008C02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Объемно-планировочными решениями предусмотреть гардеробные для персонала в соответствии с СанПин 2.3.1.2630-10, СП 158.13330.2014 «Здания и помещения медицинских организаций. Правила проектирования (с Изменениями N 1, 2)».   Для персонала организовать санузлы, комнаты отдыха и приема пищи (комнаты персонала). Для временного хранения уборочного инвентаря предусмотреть кладовые для уборочного инвентаря. </w:t>
            </w:r>
          </w:p>
          <w:p w14:paraId="28A2C984" w14:textId="46F97B58" w:rsidR="0029483A" w:rsidRPr="00D869B8" w:rsidRDefault="0029483A" w:rsidP="008C02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   Предусмотреть при проектировании: доступ к сети интернет, телефонную связь, </w:t>
            </w:r>
            <w:proofErr w:type="spellStart"/>
            <w:r w:rsidRPr="00976D20">
              <w:rPr>
                <w:rFonts w:ascii="Times New Roman" w:hAnsi="Times New Roman"/>
                <w:sz w:val="24"/>
                <w:szCs w:val="24"/>
              </w:rPr>
              <w:t>пожаро</w:t>
            </w:r>
            <w:proofErr w:type="spellEnd"/>
            <w:r w:rsidRPr="00976D20">
              <w:rPr>
                <w:rFonts w:ascii="Times New Roman" w:hAnsi="Times New Roman"/>
                <w:sz w:val="24"/>
                <w:szCs w:val="24"/>
              </w:rPr>
              <w:t xml:space="preserve">-охранную сигнализацию, систему автоматического пожаротушения. </w:t>
            </w:r>
          </w:p>
        </w:tc>
      </w:tr>
      <w:tr w:rsidR="0029483A" w:rsidRPr="00BF42F8" w14:paraId="6F8FA5BF" w14:textId="77777777" w:rsidTr="008C02C1">
        <w:trPr>
          <w:trHeight w:val="699"/>
        </w:trPr>
        <w:tc>
          <w:tcPr>
            <w:tcW w:w="567" w:type="dxa"/>
            <w:tcBorders>
              <w:right w:val="single" w:sz="4" w:space="0" w:color="auto"/>
            </w:tcBorders>
          </w:tcPr>
          <w:p w14:paraId="55BFA95D" w14:textId="081A755D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34D13FA2" w14:textId="77777777" w:rsidR="0029483A" w:rsidRPr="00BF42F8" w:rsidRDefault="0029483A" w:rsidP="008C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требования к проектным решениям</w:t>
            </w:r>
          </w:p>
        </w:tc>
        <w:tc>
          <w:tcPr>
            <w:tcW w:w="6739" w:type="dxa"/>
            <w:gridSpan w:val="2"/>
          </w:tcPr>
          <w:p w14:paraId="5A830470" w14:textId="77777777" w:rsidR="0029483A" w:rsidRPr="00D907CF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1) Разработать проектно-сметную документацию с учетом рекомендаций,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указанных в п. 30</w:t>
            </w: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ТЗ.</w:t>
            </w:r>
          </w:p>
          <w:p w14:paraId="6F4E2DAD" w14:textId="77777777" w:rsidR="0029483A" w:rsidRPr="00D907CF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 Предусмотреть мероприятия по обеспечению соблюдения требований энергетической эффективности.</w:t>
            </w:r>
          </w:p>
          <w:p w14:paraId="253B42C1" w14:textId="77777777" w:rsidR="0029483A" w:rsidRPr="00D907CF" w:rsidRDefault="0029483A" w:rsidP="008C02C1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3) Проект выполнить в соответствии со всеми действующими </w:t>
            </w: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нормами и правилами, в том числе:  </w:t>
            </w:r>
          </w:p>
          <w:p w14:paraId="6D7CB828" w14:textId="77777777" w:rsidR="0029483A" w:rsidRPr="00D907CF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Федеральный закон от 30.12.2009 № 384-ФЗ «Технический регламент о безопасности зданий и сооружений»;</w:t>
            </w:r>
          </w:p>
          <w:p w14:paraId="64B1D2C3" w14:textId="77777777" w:rsidR="0029483A" w:rsidRPr="00D907CF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СП 118.13330.2012 «Общественные здания и сооружения»;</w:t>
            </w:r>
          </w:p>
          <w:p w14:paraId="14EF62FA" w14:textId="77777777" w:rsidR="0029483A" w:rsidRPr="00D907CF" w:rsidRDefault="0029483A" w:rsidP="008C02C1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СП 14.13330.2018 «Строительство в сейсмических районах»;</w:t>
            </w:r>
          </w:p>
          <w:p w14:paraId="3EB4C605" w14:textId="77777777" w:rsidR="0029483A" w:rsidRPr="00D907CF" w:rsidRDefault="0029483A" w:rsidP="008C02C1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Федеральный закон от 22.07.2008 № 123-ФЗ «Технический регламент о требованиях пожарной безопасности».</w:t>
            </w:r>
          </w:p>
          <w:p w14:paraId="381D864F" w14:textId="77777777" w:rsidR="0029483A" w:rsidRPr="00D907CF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4) Разработать в соответствии с санитарными, экологическими и противопожарными нормами решения по внешнему </w:t>
            </w:r>
            <w:proofErr w:type="spellStart"/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виду</w:t>
            </w:r>
            <w:r>
              <w:rPr>
                <w:rFonts w:ascii="Times New Roman" w:hAnsi="Times New Roman"/>
                <w:sz w:val="24"/>
                <w:szCs w:val="24"/>
              </w:rPr>
              <w:t>здания</w:t>
            </w:r>
            <w:proofErr w:type="spellEnd"/>
            <w:r w:rsidRPr="00976D20">
              <w:rPr>
                <w:rFonts w:ascii="Times New Roman" w:hAnsi="Times New Roman"/>
                <w:sz w:val="24"/>
                <w:szCs w:val="24"/>
              </w:rPr>
              <w:t xml:space="preserve"> детского поликлинического отделения </w:t>
            </w: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согласовать его с Заказчиком и Главным архитектором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Аскизского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FB64C08" w14:textId="77777777" w:rsidR="0029483A" w:rsidRPr="00D907CF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5) Выполнить схему планировочной организации земельного участка и согласовать ее с Заказчиком и Главным архитектором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Аскизского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района</w:t>
            </w:r>
            <w:r w:rsidRPr="00D90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9483A" w:rsidRPr="00BF42F8" w14:paraId="7AFE07DD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74D67E3B" w14:textId="17F791B2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63B5825C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</w:t>
            </w:r>
          </w:p>
        </w:tc>
        <w:tc>
          <w:tcPr>
            <w:tcW w:w="6739" w:type="dxa"/>
            <w:gridSpan w:val="2"/>
          </w:tcPr>
          <w:p w14:paraId="4556F709" w14:textId="77777777" w:rsidR="0029483A" w:rsidRPr="00976D20" w:rsidRDefault="0029483A" w:rsidP="008C02C1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 по доступной среде:</w:t>
            </w:r>
          </w:p>
          <w:p w14:paraId="344FF886" w14:textId="77777777" w:rsidR="0029483A" w:rsidRPr="00D617E1" w:rsidRDefault="0029483A" w:rsidP="008C02C1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 </w:t>
            </w:r>
            <w:r>
              <w:rPr>
                <w:rFonts w:ascii="Times New Roman" w:hAnsi="Times New Roman"/>
                <w:sz w:val="24"/>
                <w:szCs w:val="24"/>
              </w:rPr>
              <w:t>здании</w:t>
            </w:r>
            <w:r w:rsidRPr="00976D20">
              <w:rPr>
                <w:rFonts w:ascii="Times New Roman" w:hAnsi="Times New Roman"/>
                <w:sz w:val="24"/>
                <w:szCs w:val="24"/>
              </w:rPr>
              <w:t xml:space="preserve"> детского поликлинического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отделения </w:t>
            </w: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учесть необхо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димость обеспечения условий жиз</w:t>
            </w: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недеятельности и передвижения маломобильных групп населения с учетом требований дейс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твующих нормативных документов. </w:t>
            </w: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Предусмо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треть зоны безопасности для МГН</w:t>
            </w:r>
          </w:p>
        </w:tc>
      </w:tr>
      <w:tr w:rsidR="0029483A" w:rsidRPr="00BF42F8" w14:paraId="7B788FB8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7E80ABA8" w14:textId="19471625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29464E55" w14:textId="77777777" w:rsidR="0029483A" w:rsidRPr="00BF42F8" w:rsidRDefault="0029483A" w:rsidP="008C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системам инженерно-технического обеспечения</w:t>
            </w:r>
          </w:p>
        </w:tc>
        <w:tc>
          <w:tcPr>
            <w:tcW w:w="6739" w:type="dxa"/>
            <w:gridSpan w:val="2"/>
          </w:tcPr>
          <w:p w14:paraId="0937E7ED" w14:textId="77777777" w:rsidR="0029483A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Сети инженерно-технического обеспечения выполнить в соответствии с техническими условиями на основании действующих нормативных документов.</w:t>
            </w:r>
          </w:p>
          <w:p w14:paraId="40C928CB" w14:textId="77777777" w:rsidR="0029483A" w:rsidRPr="00211569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электроснабжения, электроосвещение; система водоснабжения, водоотведения; отопление, вентиляция и кондиционирование воздуха, тепловые сети; сети связи– </w:t>
            </w:r>
            <w:r w:rsidRPr="00211569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с учетом действующих нормативных документов.</w:t>
            </w:r>
          </w:p>
          <w:p w14:paraId="002EC858" w14:textId="77777777" w:rsidR="0029483A" w:rsidRPr="00211569" w:rsidRDefault="0029483A" w:rsidP="008C02C1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569">
              <w:rPr>
                <w:rFonts w:ascii="Times New Roman" w:hAnsi="Times New Roman" w:cs="Times New Roman"/>
                <w:sz w:val="24"/>
                <w:szCs w:val="24"/>
              </w:rPr>
              <w:t>На стадии проектирования должен быть выполнен расчет нагрузок в соответствии с проектными данными объекта и действующими нормативными документами.</w:t>
            </w:r>
          </w:p>
          <w:p w14:paraId="1DC88E38" w14:textId="77777777" w:rsidR="0029483A" w:rsidRPr="00211569" w:rsidRDefault="0029483A" w:rsidP="008C02C1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569">
              <w:rPr>
                <w:rFonts w:ascii="Times New Roman" w:hAnsi="Times New Roman" w:cs="Times New Roman"/>
                <w:sz w:val="24"/>
                <w:szCs w:val="24"/>
              </w:rPr>
              <w:t>Разработать программу пуско-наладочных работ и согласовать с заказчиком.</w:t>
            </w:r>
          </w:p>
          <w:p w14:paraId="3204C14E" w14:textId="77777777" w:rsidR="0029483A" w:rsidRPr="00BF42F8" w:rsidRDefault="0029483A" w:rsidP="008C02C1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sz w:val="32"/>
                <w:szCs w:val="32"/>
              </w:rPr>
            </w:pPr>
            <w:r w:rsidRPr="0021156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мероприятия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инженерно-технические средства и системы охраны для объекта (территории) в соответствии с Постановлением Правительства Российской Федерации от </w:t>
            </w:r>
            <w:r w:rsidRPr="00BF42F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11.02.2017 N 176 (ред. от 13.02.2018) "Об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(территорий)"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СП 132.13330.2011 «Обеспечение антитеррористической защищенности зданий и сооружений. Общие требования проектирования».</w:t>
            </w:r>
          </w:p>
        </w:tc>
      </w:tr>
      <w:tr w:rsidR="0029483A" w:rsidRPr="00BF42F8" w14:paraId="52AE4827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5B2E837F" w14:textId="6834A573" w:rsidR="0029483A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22779081" w14:textId="77777777" w:rsidR="0029483A" w:rsidRPr="00BF42F8" w:rsidRDefault="0029483A" w:rsidP="008C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6739" w:type="dxa"/>
            <w:gridSpan w:val="2"/>
          </w:tcPr>
          <w:p w14:paraId="5FEF77E2" w14:textId="77777777" w:rsidR="0029483A" w:rsidRPr="00976D20" w:rsidRDefault="0029483A" w:rsidP="008C02C1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>Благоустройство и озеленение территории выполнить, с учетом действующих нормативных документов.</w:t>
            </w:r>
          </w:p>
          <w:p w14:paraId="00D6FCD6" w14:textId="77777777" w:rsidR="0029483A" w:rsidRPr="004A23D9" w:rsidRDefault="0029483A" w:rsidP="008C02C1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</w:t>
            </w: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парковки для автотранспорта.</w:t>
            </w:r>
          </w:p>
        </w:tc>
      </w:tr>
      <w:tr w:rsidR="0029483A" w:rsidRPr="00BF42F8" w14:paraId="0C61BA09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0312D2AB" w14:textId="38F74ECF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0428A88A" w14:textId="77777777" w:rsidR="0029483A" w:rsidRPr="00BF42F8" w:rsidRDefault="0029483A" w:rsidP="008C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Наружные инженерные сети</w:t>
            </w:r>
          </w:p>
        </w:tc>
        <w:tc>
          <w:tcPr>
            <w:tcW w:w="6739" w:type="dxa"/>
            <w:gridSpan w:val="2"/>
          </w:tcPr>
          <w:p w14:paraId="26D67560" w14:textId="6BFDB07D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прохождения инженерных коммуникаций в зоне строительства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здания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предусмотреть вынос инженерных сетей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D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</w:t>
            </w:r>
            <w:r w:rsidRPr="00976D2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учетом действующих нормативных документов.</w:t>
            </w:r>
          </w:p>
        </w:tc>
      </w:tr>
      <w:tr w:rsidR="0029483A" w:rsidRPr="00BF42F8" w14:paraId="60C17FAD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1C2AB184" w14:textId="7D001C21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E8E6AA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7DE5D172" w14:textId="77777777" w:rsidR="0029483A" w:rsidRPr="00BF42F8" w:rsidRDefault="0029483A" w:rsidP="008C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разработке мероприятий по обеспечению пожарной безопасности.</w:t>
            </w:r>
          </w:p>
        </w:tc>
        <w:tc>
          <w:tcPr>
            <w:tcW w:w="6739" w:type="dxa"/>
            <w:gridSpan w:val="2"/>
          </w:tcPr>
          <w:p w14:paraId="74A1081F" w14:textId="77777777" w:rsidR="0029483A" w:rsidRPr="00BF42F8" w:rsidRDefault="0029483A" w:rsidP="008C02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</w:tc>
      </w:tr>
      <w:tr w:rsidR="0029483A" w:rsidRPr="00BF42F8" w14:paraId="505AF1E6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7A4BF7C5" w14:textId="39275C64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4F6D3E4C" w14:textId="77777777" w:rsidR="0029483A" w:rsidRPr="00BF42F8" w:rsidRDefault="0029483A" w:rsidP="008C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разработке мероприятий по ГО и ЧС</w:t>
            </w:r>
          </w:p>
        </w:tc>
        <w:tc>
          <w:tcPr>
            <w:tcW w:w="6739" w:type="dxa"/>
            <w:gridSpan w:val="2"/>
          </w:tcPr>
          <w:p w14:paraId="2CFBBBA8" w14:textId="77777777" w:rsidR="0029483A" w:rsidRPr="00BF42F8" w:rsidRDefault="0029483A" w:rsidP="008C02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Инженерно-технические мероприятия ГО определить проектом в соответствии с действующими нормами и правилами, исходными данными и требованиями, полученными Заказчиком в Управлении по гражданской обороне, чрезвычайным ситуациям и пожарной безопасности Республики Хакасия.</w:t>
            </w:r>
          </w:p>
        </w:tc>
      </w:tr>
      <w:tr w:rsidR="0029483A" w:rsidRPr="00BF42F8" w14:paraId="668612DB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4BFEE48A" w14:textId="252C86CF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14:paraId="0C924FC3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составу сметной документации</w:t>
            </w:r>
          </w:p>
        </w:tc>
        <w:tc>
          <w:tcPr>
            <w:tcW w:w="6739" w:type="dxa"/>
            <w:gridSpan w:val="2"/>
          </w:tcPr>
          <w:p w14:paraId="640AA635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481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Сметная стоимость определяется согласно сметной нормативной базе, входящей в Федеральный реестр сметных нормативов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СНБ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ФЕР </w:t>
            </w:r>
            <w:r w:rsidRPr="00605DD3">
              <w:rPr>
                <w:rFonts w:ascii="Times New Roman" w:eastAsia="Times New Roman" w:hAnsi="Times New Roman" w:cs="Times New Roman"/>
                <w:sz w:val="24"/>
                <w:szCs w:val="24"/>
              </w:rPr>
              <w:t>в редакции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действующей на дату предоставления проектно-сметной документации в Государственную экспертизу) </w:t>
            </w:r>
          </w:p>
          <w:p w14:paraId="07972C34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481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Сметную документацию разработать на основании справки исходных данных.</w:t>
            </w:r>
          </w:p>
          <w:p w14:paraId="4D877E69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481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Сметная стоимость:</w:t>
            </w:r>
          </w:p>
          <w:p w14:paraId="620972D6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локальные сметы в уровне цен 2001г;</w:t>
            </w:r>
          </w:p>
          <w:p w14:paraId="1F875CC7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сводный сметный расчет в базисных ценах и текущих ценах. Перевод СМР в текущий уровень цен индексом к полной стоимости, прочих работ и затрат, и оборудования согласно письму Минстроя РФ, на момент составления сметной документации.</w:t>
            </w:r>
          </w:p>
          <w:p w14:paraId="26FEFA63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 по видам строительно-монтажных работ (МДС 81-33.2004 прил. 4).</w:t>
            </w:r>
          </w:p>
          <w:p w14:paraId="1ED8755E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Сметная прибыль по видам строительно-монтажных работ (МДС 81-25.2001 прил.3).</w:t>
            </w:r>
          </w:p>
          <w:p w14:paraId="711B62F9" w14:textId="77777777" w:rsidR="0029483A" w:rsidRPr="00605DD3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Затраты при производстве строительно- монтажных работ в зимнее время </w:t>
            </w:r>
            <w:r w:rsidRPr="00605D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учесть,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ГСН81-05-02-2007. </w:t>
            </w:r>
          </w:p>
          <w:p w14:paraId="42B0E3C4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Затраты на строительство временных зданий и сооружений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учесть согласно </w:t>
            </w:r>
            <w:r w:rsidRPr="00605DD3">
              <w:rPr>
                <w:rFonts w:ascii="Times New Roman" w:eastAsia="Times New Roman" w:hAnsi="Times New Roman" w:cs="Times New Roman"/>
                <w:sz w:val="24"/>
                <w:szCs w:val="24"/>
              </w:rPr>
              <w:t>ГСН81-05-01-2001.</w:t>
            </w:r>
          </w:p>
          <w:p w14:paraId="171EB30B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 и затраты, учитываемые сметой:</w:t>
            </w:r>
          </w:p>
          <w:p w14:paraId="0FC76280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затраты на проведение пусконаладочных работ согласно программам проведения ПНР по разделам: </w:t>
            </w:r>
          </w:p>
          <w:p w14:paraId="6F1A7022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электроосвещение и силовое электрооборудование;  </w:t>
            </w:r>
          </w:p>
          <w:p w14:paraId="644CCBEC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наружное освещение; </w:t>
            </w:r>
          </w:p>
          <w:p w14:paraId="71381B6F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общая вентиляция;</w:t>
            </w:r>
          </w:p>
          <w:p w14:paraId="10817773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автоматика вентиляции;</w:t>
            </w:r>
          </w:p>
          <w:p w14:paraId="51D02FA6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комплексное опробование вентиляции;</w:t>
            </w:r>
          </w:p>
          <w:p w14:paraId="3AC0C7F9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видеонаблюдение наружное и внутреннее;</w:t>
            </w:r>
          </w:p>
          <w:p w14:paraId="10C47F0A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пожарная сигнализация;</w:t>
            </w:r>
          </w:p>
          <w:p w14:paraId="5D4A6578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тревожная сигнализация;</w:t>
            </w:r>
          </w:p>
          <w:p w14:paraId="0A238756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 оповещения и управления эвакуацией;</w:t>
            </w:r>
          </w:p>
          <w:p w14:paraId="100BA073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 контроля и управления доступом. </w:t>
            </w:r>
          </w:p>
          <w:p w14:paraId="291703B7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 пожаротушения</w:t>
            </w:r>
          </w:p>
          <w:p w14:paraId="72F65633" w14:textId="77777777" w:rsidR="0029483A" w:rsidRPr="00EB6BED" w:rsidRDefault="0029483A" w:rsidP="008C02C1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8.2.</w:t>
            </w:r>
            <w:r w:rsidRPr="00EB6B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проектные и изыскательские работы;</w:t>
            </w:r>
          </w:p>
          <w:p w14:paraId="6F55D0BF" w14:textId="77777777" w:rsidR="0029483A" w:rsidRPr="00EB6BED" w:rsidRDefault="0029483A" w:rsidP="008C02C1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8.3.</w:t>
            </w:r>
            <w:r w:rsidRPr="00EB6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экспертиза проектно-сметной документации;</w:t>
            </w:r>
          </w:p>
          <w:p w14:paraId="4A3610B8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8.4.</w:t>
            </w:r>
            <w:r w:rsidRPr="00EB6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авторский надзор 0,2% (МДС 81-35.2004);</w:t>
            </w:r>
          </w:p>
          <w:p w14:paraId="172C3AE3" w14:textId="77777777" w:rsidR="0029483A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8.5.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затраты на подключение объекта к сетям инженерно-технического обеспечения (сети электроснабжения,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водоснабжения, водоотведения, теплоснабжения) определяется на основании тарифов в соответствии с приказом Госкомитета по тарифам и энергетике Республики Хакасия на момент составления сметной документации.</w:t>
            </w:r>
          </w:p>
          <w:p w14:paraId="16DBDA5A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8.6. затраты, связанные с вводом объекта в эксплуатацию согласно ст. 55 Градостроительного кодекса РФ.</w:t>
            </w:r>
          </w:p>
          <w:p w14:paraId="0B5477E7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906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 средств на непредвиденные работы и затраты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учесть согласно 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МДС81-35.2004.</w:t>
            </w:r>
          </w:p>
          <w:p w14:paraId="42889E27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1048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Затраты, связанные с уплатой налога на добавленную стоимость (НДС) – налоговая ставка, действующая на момент составления сметной документации в соответствии со ст.164 гл.21 Налогового кодекса РФ.</w:t>
            </w:r>
          </w:p>
          <w:p w14:paraId="0E2811B7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903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сметной стоимости на материалы и оборудование возможно использование стоимости по прайс-листам региона строительства, согласованными заказчиком.</w:t>
            </w:r>
          </w:p>
          <w:p w14:paraId="323C6143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903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стоимости материальных ресурсов и оборудования, принятых по прайс-листам, учесть транспортные и заготовительно-складские расходы в размере:</w:t>
            </w:r>
          </w:p>
          <w:p w14:paraId="516C21A1" w14:textId="77777777" w:rsidR="0029483A" w:rsidRPr="00BF42F8" w:rsidRDefault="0029483A" w:rsidP="008C02C1">
            <w:pPr>
              <w:tabs>
                <w:tab w:val="left" w:pos="373"/>
                <w:tab w:val="left" w:pos="761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транспортные на оборудование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% (МДС 81-35.2004 п.4.60);</w:t>
            </w:r>
          </w:p>
          <w:p w14:paraId="3C52F29B" w14:textId="77777777" w:rsidR="0029483A" w:rsidRPr="00BF42F8" w:rsidRDefault="0029483A" w:rsidP="008C02C1">
            <w:pPr>
              <w:tabs>
                <w:tab w:val="left" w:pos="373"/>
                <w:tab w:val="left" w:pos="761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заготовительно-складские расходы: по строительным материалам и конструкциям (за исключением металлоконструкций) – 2% (ФССЦ-2001 тех. часть, общие положения, п.3); </w:t>
            </w:r>
          </w:p>
          <w:p w14:paraId="55320B56" w14:textId="77777777" w:rsidR="0029483A" w:rsidRPr="00BF42F8" w:rsidRDefault="0029483A" w:rsidP="008C02C1">
            <w:pPr>
              <w:tabs>
                <w:tab w:val="left" w:pos="373"/>
                <w:tab w:val="left" w:pos="761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по металлическим строительным конструкциям – 0,75% (ФССЦ-2001 тех. часть, общие положения, п.3);</w:t>
            </w:r>
          </w:p>
          <w:p w14:paraId="7BE9B2B6" w14:textId="77777777" w:rsidR="0029483A" w:rsidRPr="00BF42F8" w:rsidRDefault="0029483A" w:rsidP="008C02C1">
            <w:pPr>
              <w:tabs>
                <w:tab w:val="left" w:pos="373"/>
                <w:tab w:val="left" w:pos="761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- по оборудованию – 1,2% (МДС 81-35.2004 п.4.64).</w:t>
            </w:r>
          </w:p>
          <w:p w14:paraId="4F79F377" w14:textId="77777777" w:rsidR="0029483A" w:rsidRPr="002F4B35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761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4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Вывоз излишков грунта, пригодного для дальнейшего использования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расстояние согласовать с муниципальным образованием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Аскизского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2F4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47E061B" w14:textId="77777777" w:rsidR="0029483A" w:rsidRPr="002F4B35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761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4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Вывоз строительного мусора – полигон ТБО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Аскизского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района– 5</w:t>
            </w:r>
            <w:r w:rsidRPr="002F4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км.</w:t>
            </w:r>
          </w:p>
          <w:p w14:paraId="41BD0689" w14:textId="77777777" w:rsidR="0029483A" w:rsidRPr="00BF42F8" w:rsidRDefault="0029483A" w:rsidP="008C02C1">
            <w:pPr>
              <w:numPr>
                <w:ilvl w:val="0"/>
                <w:numId w:val="4"/>
              </w:numPr>
              <w:tabs>
                <w:tab w:val="left" w:pos="373"/>
                <w:tab w:val="left" w:pos="761"/>
              </w:tabs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Стесненные условия производства работ на основании ПОС.</w:t>
            </w:r>
          </w:p>
          <w:p w14:paraId="0BB08F9D" w14:textId="77777777" w:rsidR="0029483A" w:rsidRPr="00BF42F8" w:rsidRDefault="0029483A" w:rsidP="008C02C1">
            <w:pPr>
              <w:tabs>
                <w:tab w:val="num" w:pos="147"/>
                <w:tab w:val="left" w:pos="7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мониторинг цен на оборудование и строительные материалы, стоимость которых определяется по прайс-листам, с оформлением протокола мониторинга цен.</w:t>
            </w:r>
          </w:p>
          <w:p w14:paraId="7DDD32B3" w14:textId="77777777" w:rsidR="00D50BDF" w:rsidRDefault="0029483A" w:rsidP="008C02C1">
            <w:pPr>
              <w:tabs>
                <w:tab w:val="left" w:pos="76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Прайс-листы, используемые в данной сметной документации, представляются заказчику в электронном варианте в формате 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PDF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на каждый материал с изображением (фото) товара не менее чем от двух производителей с предоставлением мониторинга цен (</w:t>
            </w:r>
            <w:proofErr w:type="spellStart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коньюктурного</w:t>
            </w:r>
            <w:proofErr w:type="spellEnd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анализа), согласованного с заказчиком.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</w:p>
          <w:p w14:paraId="0F822559" w14:textId="57647CEB" w:rsidR="00D50BDF" w:rsidRPr="00BF42F8" w:rsidRDefault="0029483A" w:rsidP="00D50BDF">
            <w:pPr>
              <w:tabs>
                <w:tab w:val="left" w:pos="76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Ведомости объемов работ, представляются заказчику в </w:t>
            </w:r>
          </w:p>
          <w:p w14:paraId="0EDF7A5D" w14:textId="45193ABB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электронном варианте с обязательным согласованием заказчиком. Ведомости объемов работ должны быть составлены по фактически выполненным чертежам соответственно составу проектной документации. В ведомостях объемов работ должны быть указаны формулы расчета и ссылки на листы проекта. Электронный вариант должен быть представлен в виде отдельного тома в формате 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PDF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 подписанным титульным листом, а так же в формате 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xls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каждый раздел проектной документации.</w:t>
            </w:r>
          </w:p>
          <w:p w14:paraId="2E65E9A6" w14:textId="33B29610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11. Смета на строительство объектов капитального строительства, должна быть собранная в отдельный 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формате Гранд – сметы версии 9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выше (*.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gsf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передается Заказчику. Электронный вариант должен быть представлен в виде отдельного тома в формате 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PDF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 подписанным титульным листом, пояснительная записка к разделу в формате 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word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6C1510F" w14:textId="77777777" w:rsidR="0029483A" w:rsidRPr="00A65B6E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 же в состав электронного варианта должны входить:</w:t>
            </w:r>
          </w:p>
          <w:p w14:paraId="114F786E" w14:textId="77777777" w:rsidR="0029483A" w:rsidRPr="00A65B6E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сводные сметные расчеты в форматах 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PDF</w:t>
            </w: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xls</w:t>
            </w:r>
            <w:proofErr w:type="spellEnd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XML, </w:t>
            </w:r>
            <w:proofErr w:type="spellStart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gsf</w:t>
            </w:r>
            <w:proofErr w:type="spellEnd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составленные в текущих ценах на соответствующий квартал 2020 года и базовых ценах 2001 года</w:t>
            </w:r>
          </w:p>
          <w:p w14:paraId="30CBCE7B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объектные и локальные сметные расчеты на каждый раздел проектной документации в форматах </w:t>
            </w:r>
            <w:proofErr w:type="spellStart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xls</w:t>
            </w:r>
            <w:proofErr w:type="spellEnd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XML, </w:t>
            </w:r>
            <w:proofErr w:type="spellStart"/>
            <w:r w:rsidRPr="00A6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gsf</w:t>
            </w:r>
            <w:proofErr w:type="spellEnd"/>
          </w:p>
          <w:p w14:paraId="28AB8D86" w14:textId="77777777" w:rsidR="00D50BDF" w:rsidRDefault="0029483A" w:rsidP="00D50BDF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к томам Прайс-листы, Ведомости объемов работ</w:t>
            </w:r>
            <w:r w:rsidR="00D50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27CB589" w14:textId="731E10FE" w:rsidR="0029483A" w:rsidRDefault="0029483A" w:rsidP="00D50BDF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 документы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предоставленные </w:t>
            </w:r>
            <w:proofErr w:type="gramStart"/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электронном виде</w:t>
            </w:r>
            <w:proofErr w:type="gramEnd"/>
            <w:r w:rsidRPr="00BF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должны соответствовать требованиям Постановления Правительства РФ от 4 июля 2018 №783.</w:t>
            </w:r>
          </w:p>
          <w:p w14:paraId="554D13D9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технические решения согласовать с заказчиком до прохождения государственной экспертизы.</w:t>
            </w:r>
          </w:p>
          <w:p w14:paraId="08FF45D3" w14:textId="77777777" w:rsidR="0029483A" w:rsidRPr="004C45D1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Получить </w:t>
            </w:r>
            <w:r w:rsidRPr="004C4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заключение государственной экспертизы о соответствии проектной документации требованиям технических регламентов.</w:t>
            </w:r>
          </w:p>
          <w:p w14:paraId="442668E6" w14:textId="3F77F9C3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Проектную и рабочую документацию выполнить в форматах: текстовая часть -*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, *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, сметы - *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gsf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, чертежи - *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dwg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и*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09310B5" w14:textId="7777777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В электронном виде к каждой локальной смете представить перечень работ с указанием объемов и перечень потребностей в материалах с техническими характеристиками.</w:t>
            </w:r>
          </w:p>
          <w:p w14:paraId="74F4985D" w14:textId="766C53F7" w:rsidR="0029483A" w:rsidRPr="00BF42F8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Сметная документация предоставляется в формате Гранд – сметы версии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(*.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gsf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передается Заказчику.</w:t>
            </w:r>
          </w:p>
        </w:tc>
      </w:tr>
      <w:tr w:rsidR="0029483A" w:rsidRPr="00BF42F8" w14:paraId="18D6EC7A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408E4B21" w14:textId="02F08D5B" w:rsidR="0029483A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DE4F639" w14:textId="77777777" w:rsidR="0029483A" w:rsidRPr="007C3F84" w:rsidRDefault="0029483A" w:rsidP="008C02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C3F84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Прочие дополнительные требования и указания, конкретизирующие объем проектных работ</w:t>
            </w:r>
          </w:p>
        </w:tc>
        <w:tc>
          <w:tcPr>
            <w:tcW w:w="6731" w:type="dxa"/>
            <w:tcBorders>
              <w:left w:val="single" w:sz="4" w:space="0" w:color="auto"/>
            </w:tcBorders>
          </w:tcPr>
          <w:p w14:paraId="43C6BC41" w14:textId="77777777" w:rsidR="0029483A" w:rsidRPr="007C3F84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84">
              <w:rPr>
                <w:rFonts w:ascii="Times New Roman" w:hAnsi="Times New Roman" w:cs="Times New Roman"/>
                <w:sz w:val="24"/>
                <w:szCs w:val="24"/>
              </w:rPr>
              <w:t>В состав электронного варианта должны входить:</w:t>
            </w:r>
          </w:p>
          <w:p w14:paraId="3A30D165" w14:textId="77777777" w:rsidR="0029483A" w:rsidRPr="007C3F84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84">
              <w:rPr>
                <w:rFonts w:ascii="Times New Roman" w:hAnsi="Times New Roman" w:cs="Times New Roman"/>
                <w:sz w:val="24"/>
                <w:szCs w:val="24"/>
              </w:rPr>
              <w:t xml:space="preserve">-  состав проектной документации в формате </w:t>
            </w:r>
            <w:proofErr w:type="spellStart"/>
            <w:r w:rsidRPr="007C3F84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7C3F84">
              <w:rPr>
                <w:rFonts w:ascii="Times New Roman" w:hAnsi="Times New Roman" w:cs="Times New Roman"/>
                <w:sz w:val="24"/>
                <w:szCs w:val="24"/>
              </w:rPr>
              <w:t xml:space="preserve"> и PDF (с возможностью копирования);</w:t>
            </w:r>
          </w:p>
          <w:p w14:paraId="7DDDE9FA" w14:textId="77777777" w:rsidR="0029483A" w:rsidRPr="007C3F84" w:rsidRDefault="0029483A" w:rsidP="008C02C1">
            <w:pPr>
              <w:tabs>
                <w:tab w:val="left" w:pos="373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84">
              <w:rPr>
                <w:rFonts w:ascii="Times New Roman" w:hAnsi="Times New Roman" w:cs="Times New Roman"/>
                <w:sz w:val="24"/>
                <w:szCs w:val="24"/>
              </w:rPr>
              <w:t xml:space="preserve">- пояснительные записки всех разделов проектной документации в формате </w:t>
            </w:r>
            <w:proofErr w:type="spellStart"/>
            <w:r w:rsidRPr="007C3F84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7C3F84">
              <w:rPr>
                <w:rFonts w:ascii="Times New Roman" w:hAnsi="Times New Roman" w:cs="Times New Roman"/>
                <w:sz w:val="24"/>
                <w:szCs w:val="24"/>
              </w:rPr>
              <w:t xml:space="preserve"> с подписанными титульными листами;</w:t>
            </w:r>
          </w:p>
          <w:p w14:paraId="7898CBFF" w14:textId="77777777" w:rsidR="0029483A" w:rsidRPr="007C3F84" w:rsidRDefault="0029483A" w:rsidP="008C02C1">
            <w:pPr>
              <w:pStyle w:val="13"/>
              <w:jc w:val="both"/>
              <w:rPr>
                <w:szCs w:val="24"/>
              </w:rPr>
            </w:pPr>
            <w:r w:rsidRPr="007C3F84">
              <w:rPr>
                <w:szCs w:val="24"/>
              </w:rPr>
              <w:t>Все документы, представленные в электронном варианте, должны соответствовать требованиям Постановления Правительства РФ от 4 июля 2018 №783</w:t>
            </w:r>
          </w:p>
        </w:tc>
      </w:tr>
      <w:tr w:rsidR="0029483A" w:rsidRPr="00BF42F8" w14:paraId="0C7157A7" w14:textId="77777777" w:rsidTr="008C02C1">
        <w:tc>
          <w:tcPr>
            <w:tcW w:w="567" w:type="dxa"/>
            <w:tcBorders>
              <w:right w:val="single" w:sz="4" w:space="0" w:color="auto"/>
            </w:tcBorders>
          </w:tcPr>
          <w:p w14:paraId="083ABB19" w14:textId="7700E5D8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285917" w14:textId="77777777" w:rsidR="0029483A" w:rsidRPr="00BF42F8" w:rsidRDefault="0029483A" w:rsidP="008C0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документации и количество выдаваемых экземпляров</w:t>
            </w:r>
          </w:p>
        </w:tc>
        <w:tc>
          <w:tcPr>
            <w:tcW w:w="6731" w:type="dxa"/>
            <w:tcBorders>
              <w:left w:val="single" w:sz="4" w:space="0" w:color="auto"/>
            </w:tcBorders>
          </w:tcPr>
          <w:p w14:paraId="36EEAB3C" w14:textId="77777777" w:rsidR="0029483A" w:rsidRPr="00BF42F8" w:rsidRDefault="0029483A" w:rsidP="008C02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9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Документацию разработать в соответствии с настоящим техническим заданием на проектирование и действующими нормативами.</w:t>
            </w:r>
          </w:p>
          <w:p w14:paraId="1B5C747C" w14:textId="6BB84985" w:rsidR="0029483A" w:rsidRPr="00BF42F8" w:rsidRDefault="0029483A" w:rsidP="00BD7B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 чертежи в программе «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формат «DWG», второй в формате «PDF».  Текстовую часть в </w:t>
            </w:r>
            <w:proofErr w:type="spellStart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BF4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2010 и выше);</w:t>
            </w:r>
          </w:p>
          <w:p w14:paraId="6374A1D5" w14:textId="57BF607F" w:rsidR="0029483A" w:rsidRPr="00BF42F8" w:rsidRDefault="0029483A" w:rsidP="008C02C1">
            <w:pPr>
              <w:pStyle w:val="a3"/>
              <w:spacing w:before="0"/>
              <w:ind w:firstLine="0"/>
              <w:rPr>
                <w:szCs w:val="24"/>
              </w:rPr>
            </w:pPr>
            <w:r w:rsidRPr="00F62176">
              <w:rPr>
                <w:szCs w:val="24"/>
              </w:rPr>
              <w:t xml:space="preserve">Срок выполнения работ с учетом получения положительного заключения государственной экспертизы и разработки рабочей документации– до </w:t>
            </w:r>
            <w:r w:rsidR="00BD7B16">
              <w:rPr>
                <w:szCs w:val="24"/>
              </w:rPr>
              <w:t>16</w:t>
            </w:r>
            <w:r w:rsidRPr="00F62176">
              <w:rPr>
                <w:szCs w:val="24"/>
              </w:rPr>
              <w:t>.10.2020.</w:t>
            </w:r>
          </w:p>
        </w:tc>
      </w:tr>
    </w:tbl>
    <w:p w14:paraId="6B172F92" w14:textId="77777777" w:rsidR="00722994" w:rsidRDefault="00722994" w:rsidP="00ED68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7388E0C2" w14:textId="77777777" w:rsidR="0011113F" w:rsidRDefault="0011113F" w:rsidP="00ED68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52361E5" w14:textId="77777777" w:rsidR="0011113F" w:rsidRDefault="0011113F" w:rsidP="00ED68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196F6BEE" w14:textId="77777777" w:rsidR="0011113F" w:rsidRDefault="0011113F" w:rsidP="00ED68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28C45DA" w14:textId="77777777" w:rsidR="0011113F" w:rsidRDefault="0011113F" w:rsidP="00ED68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02ECEC43" w14:textId="77777777" w:rsidR="00500011" w:rsidRDefault="00500011" w:rsidP="00596612">
      <w:pPr>
        <w:rPr>
          <w:sz w:val="26"/>
          <w:szCs w:val="26"/>
        </w:rPr>
      </w:pPr>
    </w:p>
    <w:p w14:paraId="6143B379" w14:textId="77777777" w:rsidR="00D50BDF" w:rsidRDefault="00D50BDF" w:rsidP="0029483A">
      <w:pPr>
        <w:spacing w:after="0" w:line="240" w:lineRule="auto"/>
        <w:jc w:val="right"/>
        <w:rPr>
          <w:sz w:val="26"/>
          <w:szCs w:val="26"/>
        </w:rPr>
      </w:pPr>
    </w:p>
    <w:p w14:paraId="5AEACF36" w14:textId="77786132" w:rsidR="00596612" w:rsidRPr="00BF42F8" w:rsidRDefault="00596612" w:rsidP="0029483A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50BDF">
        <w:rPr>
          <w:rFonts w:ascii="Times New Roman" w:hAnsi="Times New Roman" w:cs="Times New Roman"/>
          <w:sz w:val="24"/>
          <w:szCs w:val="24"/>
        </w:rPr>
        <w:t>2</w:t>
      </w:r>
    </w:p>
    <w:p w14:paraId="6B5295E6" w14:textId="77777777" w:rsidR="0029483A" w:rsidRDefault="0029483A" w:rsidP="0029483A">
      <w:pPr>
        <w:pStyle w:val="ad"/>
        <w:ind w:left="34" w:hanging="34"/>
        <w:jc w:val="center"/>
        <w:rPr>
          <w:b/>
          <w:sz w:val="24"/>
          <w:szCs w:val="24"/>
          <w:lang w:eastAsia="en-US"/>
        </w:rPr>
      </w:pPr>
    </w:p>
    <w:p w14:paraId="5A4D79CF" w14:textId="77777777" w:rsidR="0029483A" w:rsidRPr="005712E0" w:rsidRDefault="0029483A" w:rsidP="0029483A">
      <w:pPr>
        <w:pStyle w:val="ad"/>
        <w:ind w:left="34" w:hanging="34"/>
        <w:jc w:val="center"/>
        <w:rPr>
          <w:b/>
          <w:sz w:val="24"/>
          <w:szCs w:val="24"/>
          <w:lang w:eastAsia="en-US"/>
        </w:rPr>
      </w:pPr>
      <w:proofErr w:type="gramStart"/>
      <w:r w:rsidRPr="005712E0">
        <w:rPr>
          <w:b/>
          <w:sz w:val="24"/>
          <w:szCs w:val="24"/>
          <w:lang w:eastAsia="en-US"/>
        </w:rPr>
        <w:t>КАЛЕНДАРНЫЙ  ПЛАН</w:t>
      </w:r>
      <w:proofErr w:type="gramEnd"/>
    </w:p>
    <w:p w14:paraId="6946F1B5" w14:textId="2CCE07C0" w:rsidR="0029483A" w:rsidRPr="005712E0" w:rsidRDefault="0029483A" w:rsidP="0029483A">
      <w:pPr>
        <w:pStyle w:val="ad"/>
        <w:ind w:left="34" w:hanging="34"/>
        <w:jc w:val="center"/>
        <w:rPr>
          <w:b/>
          <w:sz w:val="24"/>
          <w:szCs w:val="24"/>
          <w:lang w:eastAsia="en-US"/>
        </w:rPr>
      </w:pPr>
      <w:r w:rsidRPr="005712E0">
        <w:rPr>
          <w:b/>
          <w:sz w:val="24"/>
          <w:szCs w:val="24"/>
          <w:lang w:eastAsia="en-US"/>
        </w:rPr>
        <w:t>на разработку проектно-сметной документации по объекту:</w:t>
      </w:r>
    </w:p>
    <w:p w14:paraId="61B3A217" w14:textId="02DFABA8" w:rsidR="00596612" w:rsidRPr="0029483A" w:rsidRDefault="0029483A" w:rsidP="0029483A">
      <w:pPr>
        <w:pStyle w:val="ad"/>
        <w:ind w:left="34" w:hanging="34"/>
        <w:jc w:val="center"/>
        <w:rPr>
          <w:b/>
        </w:rPr>
      </w:pPr>
      <w:r w:rsidRPr="009817A8">
        <w:rPr>
          <w:b/>
        </w:rPr>
        <w:t>«Детская поликлиника на 200 посещений в смену».</w:t>
      </w:r>
    </w:p>
    <w:tbl>
      <w:tblPr>
        <w:tblW w:w="787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2694"/>
        <w:gridCol w:w="1701"/>
        <w:gridCol w:w="1603"/>
        <w:gridCol w:w="1163"/>
      </w:tblGrid>
      <w:tr w:rsidR="00D50BDF" w:rsidRPr="00B14C73" w14:paraId="136E25DA" w14:textId="77777777" w:rsidTr="00D50BDF">
        <w:trPr>
          <w:cantSplit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E376E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№№ 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14018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3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496FC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Сроки выполнения работ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1A64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Примечание</w:t>
            </w:r>
          </w:p>
        </w:tc>
      </w:tr>
      <w:tr w:rsidR="00D50BDF" w:rsidRPr="00B14C73" w14:paraId="16FC690C" w14:textId="77777777" w:rsidTr="00D50BDF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EE687" w14:textId="77777777" w:rsidR="00D50BDF" w:rsidRPr="00B14C73" w:rsidRDefault="00D50BDF" w:rsidP="008C02C1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E83B6" w14:textId="77777777" w:rsidR="00D50BDF" w:rsidRPr="00B14C73" w:rsidRDefault="00D50BDF" w:rsidP="008C02C1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FBF92" w14:textId="77777777" w:rsidR="00D50BDF" w:rsidRPr="00B14C73" w:rsidRDefault="00D50BDF" w:rsidP="008C02C1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537CE" w14:textId="77777777" w:rsidR="00D50BDF" w:rsidRPr="00B14C73" w:rsidRDefault="00D50BDF" w:rsidP="008C02C1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51D93" w14:textId="77777777" w:rsidR="00D50BDF" w:rsidRPr="00B14C73" w:rsidRDefault="00D50BDF" w:rsidP="008C02C1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</w:p>
        </w:tc>
      </w:tr>
      <w:tr w:rsidR="00D50BDF" w:rsidRPr="00B14C73" w14:paraId="04140F18" w14:textId="77777777" w:rsidTr="00D50BDF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6A043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F1F4D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0BBA4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B6748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21607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D50BDF" w:rsidRPr="00B14C73" w14:paraId="5207EDC4" w14:textId="77777777" w:rsidTr="00D50BDF">
        <w:trPr>
          <w:trHeight w:val="8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3CBA3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7DD5F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Инженерно-изыскательские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43EFC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С момента подписания контракта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1093D" w14:textId="77777777" w:rsidR="00D50BDF" w:rsidRPr="007059BE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7059BE">
              <w:rPr>
                <w:sz w:val="24"/>
                <w:szCs w:val="24"/>
                <w:lang w:eastAsia="en-US"/>
              </w:rPr>
              <w:t>До 15.05.2020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10C3" w14:textId="51D8A030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</w:p>
        </w:tc>
      </w:tr>
      <w:tr w:rsidR="00D50BDF" w:rsidRPr="00B14C73" w14:paraId="0BDFDA31" w14:textId="77777777" w:rsidTr="00D50BDF">
        <w:trPr>
          <w:trHeight w:val="8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96BBF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7354F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Проектные работы (стадия «Проект»)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4F701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С момента подписания контракта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4E35E" w14:textId="7E529658" w:rsidR="00D50BDF" w:rsidRPr="007059BE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7059BE">
              <w:rPr>
                <w:sz w:val="24"/>
                <w:szCs w:val="24"/>
                <w:lang w:eastAsia="en-US"/>
              </w:rPr>
              <w:t xml:space="preserve">До </w:t>
            </w:r>
            <w:r>
              <w:rPr>
                <w:sz w:val="24"/>
                <w:szCs w:val="24"/>
                <w:lang w:eastAsia="en-US"/>
              </w:rPr>
              <w:t>15</w:t>
            </w:r>
            <w:r w:rsidRPr="007059BE">
              <w:rPr>
                <w:sz w:val="24"/>
                <w:szCs w:val="24"/>
                <w:lang w:eastAsia="en-US"/>
              </w:rPr>
              <w:t>.0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7059BE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D81F8" w14:textId="7E86438D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</w:p>
        </w:tc>
      </w:tr>
      <w:tr w:rsidR="00D50BDF" w:rsidRPr="00B14C73" w14:paraId="44B496EF" w14:textId="77777777" w:rsidTr="00D50B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24E23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C615E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Экспертиза инженерных изысканий и проектной документации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02604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С момента подписания контракта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F639D" w14:textId="77777777" w:rsidR="00D50BDF" w:rsidRPr="007059BE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7059BE">
              <w:rPr>
                <w:sz w:val="24"/>
                <w:szCs w:val="24"/>
                <w:lang w:eastAsia="en-US"/>
              </w:rPr>
              <w:t>До 01.09.2020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1A1AF" w14:textId="7FDA6A8F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</w:p>
        </w:tc>
      </w:tr>
      <w:tr w:rsidR="00D50BDF" w:rsidRPr="00B14C73" w14:paraId="66A48069" w14:textId="77777777" w:rsidTr="00D50BDF">
        <w:trPr>
          <w:trHeight w:val="8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F18ED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C2E96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B14C73">
              <w:rPr>
                <w:sz w:val="24"/>
                <w:szCs w:val="24"/>
                <w:lang w:eastAsia="en-US"/>
              </w:rPr>
              <w:t>Проектные работы (стадия «Рабочая документация»)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41F4F" w14:textId="7777777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момента получения по</w:t>
            </w:r>
            <w:r w:rsidRPr="00B14C73">
              <w:rPr>
                <w:sz w:val="24"/>
                <w:szCs w:val="24"/>
                <w:lang w:eastAsia="en-US"/>
              </w:rPr>
              <w:t>ложительного заключения государственной экспертизы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20C57" w14:textId="527BE77C" w:rsidR="00D50BDF" w:rsidRPr="007059BE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  <w:r w:rsidRPr="007059BE">
              <w:rPr>
                <w:sz w:val="24"/>
                <w:szCs w:val="24"/>
                <w:lang w:eastAsia="en-US"/>
              </w:rPr>
              <w:t xml:space="preserve">До </w:t>
            </w:r>
            <w:r>
              <w:rPr>
                <w:sz w:val="24"/>
                <w:szCs w:val="24"/>
                <w:lang w:eastAsia="en-US"/>
              </w:rPr>
              <w:t>01</w:t>
            </w:r>
            <w:r w:rsidRPr="007059BE">
              <w:rPr>
                <w:sz w:val="24"/>
                <w:szCs w:val="24"/>
                <w:lang w:eastAsia="en-US"/>
              </w:rPr>
              <w:t>.10.2020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A9008" w14:textId="7936F757" w:rsidR="00D50BDF" w:rsidRPr="00B14C73" w:rsidRDefault="00D50BDF" w:rsidP="00411000">
            <w:pPr>
              <w:pStyle w:val="ad"/>
              <w:ind w:left="34" w:hanging="34"/>
              <w:rPr>
                <w:sz w:val="24"/>
                <w:szCs w:val="24"/>
                <w:lang w:eastAsia="en-US"/>
              </w:rPr>
            </w:pPr>
          </w:p>
        </w:tc>
      </w:tr>
    </w:tbl>
    <w:p w14:paraId="4FDF1F80" w14:textId="77777777" w:rsidR="007F6570" w:rsidRPr="005712E0" w:rsidRDefault="007F6570" w:rsidP="00935546">
      <w:pPr>
        <w:pStyle w:val="ad"/>
        <w:ind w:left="34" w:hanging="34"/>
        <w:jc w:val="center"/>
        <w:rPr>
          <w:b/>
          <w:sz w:val="24"/>
          <w:szCs w:val="24"/>
          <w:lang w:eastAsia="en-US"/>
        </w:rPr>
      </w:pPr>
    </w:p>
    <w:p w14:paraId="40455346" w14:textId="77777777" w:rsidR="00596612" w:rsidRDefault="00596612" w:rsidP="00942690"/>
    <w:p w14:paraId="3E987D4C" w14:textId="77777777" w:rsidR="00596612" w:rsidRDefault="00596612" w:rsidP="00942690"/>
    <w:p w14:paraId="7B0B906B" w14:textId="77777777" w:rsidR="00596612" w:rsidRDefault="00596612" w:rsidP="00942690"/>
    <w:p w14:paraId="05B0417A" w14:textId="77777777" w:rsidR="00596612" w:rsidRPr="00596612" w:rsidRDefault="00596612" w:rsidP="00A954C4">
      <w:pPr>
        <w:spacing w:after="0" w:line="240" w:lineRule="auto"/>
        <w:jc w:val="both"/>
      </w:pPr>
    </w:p>
    <w:sectPr w:rsidR="00596612" w:rsidRPr="00596612" w:rsidSect="00251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34BBC"/>
    <w:multiLevelType w:val="hybridMultilevel"/>
    <w:tmpl w:val="ABA0B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43B09"/>
    <w:multiLevelType w:val="hybridMultilevel"/>
    <w:tmpl w:val="279289A0"/>
    <w:lvl w:ilvl="0" w:tplc="7D1057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658E"/>
    <w:multiLevelType w:val="hybridMultilevel"/>
    <w:tmpl w:val="68F62DDA"/>
    <w:lvl w:ilvl="0" w:tplc="76A29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D4D5C"/>
    <w:multiLevelType w:val="hybridMultilevel"/>
    <w:tmpl w:val="1CDC9F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97AB3"/>
    <w:multiLevelType w:val="hybridMultilevel"/>
    <w:tmpl w:val="9058E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12912"/>
    <w:multiLevelType w:val="hybridMultilevel"/>
    <w:tmpl w:val="90D255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660219B"/>
    <w:multiLevelType w:val="hybridMultilevel"/>
    <w:tmpl w:val="E48C68A2"/>
    <w:lvl w:ilvl="0" w:tplc="6BDEA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B0ACA"/>
    <w:multiLevelType w:val="hybridMultilevel"/>
    <w:tmpl w:val="220EC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0365E"/>
    <w:multiLevelType w:val="hybridMultilevel"/>
    <w:tmpl w:val="C5B0A3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5F1C2B"/>
    <w:multiLevelType w:val="hybridMultilevel"/>
    <w:tmpl w:val="061CAB62"/>
    <w:lvl w:ilvl="0" w:tplc="D186B5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2730E6C"/>
    <w:multiLevelType w:val="hybridMultilevel"/>
    <w:tmpl w:val="ABA0B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65E3B"/>
    <w:multiLevelType w:val="hybridMultilevel"/>
    <w:tmpl w:val="695C8F9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1590E"/>
    <w:multiLevelType w:val="hybridMultilevel"/>
    <w:tmpl w:val="8482DC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534B7"/>
    <w:multiLevelType w:val="hybridMultilevel"/>
    <w:tmpl w:val="ABA0B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13"/>
  </w:num>
  <w:num w:numId="10">
    <w:abstractNumId w:val="10"/>
  </w:num>
  <w:num w:numId="11">
    <w:abstractNumId w:val="1"/>
  </w:num>
  <w:num w:numId="12">
    <w:abstractNumId w:val="12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90"/>
    <w:rsid w:val="00013B03"/>
    <w:rsid w:val="00021C55"/>
    <w:rsid w:val="000332A2"/>
    <w:rsid w:val="00076394"/>
    <w:rsid w:val="000814CD"/>
    <w:rsid w:val="00092820"/>
    <w:rsid w:val="00094809"/>
    <w:rsid w:val="000D3382"/>
    <w:rsid w:val="000F1447"/>
    <w:rsid w:val="0011113F"/>
    <w:rsid w:val="00121AA1"/>
    <w:rsid w:val="00185399"/>
    <w:rsid w:val="00193CAB"/>
    <w:rsid w:val="001A0942"/>
    <w:rsid w:val="001E708F"/>
    <w:rsid w:val="001F2CDF"/>
    <w:rsid w:val="001F6EF5"/>
    <w:rsid w:val="002513F8"/>
    <w:rsid w:val="00275E83"/>
    <w:rsid w:val="00284DCB"/>
    <w:rsid w:val="0029483A"/>
    <w:rsid w:val="002A0774"/>
    <w:rsid w:val="002A716C"/>
    <w:rsid w:val="002C7762"/>
    <w:rsid w:val="002D015D"/>
    <w:rsid w:val="002D081E"/>
    <w:rsid w:val="002D1A4F"/>
    <w:rsid w:val="002F570E"/>
    <w:rsid w:val="003262E2"/>
    <w:rsid w:val="00333EB6"/>
    <w:rsid w:val="0035464E"/>
    <w:rsid w:val="00362472"/>
    <w:rsid w:val="00373E4B"/>
    <w:rsid w:val="00390082"/>
    <w:rsid w:val="00390E89"/>
    <w:rsid w:val="003C33BB"/>
    <w:rsid w:val="003E6312"/>
    <w:rsid w:val="0042286D"/>
    <w:rsid w:val="00433F0C"/>
    <w:rsid w:val="00445360"/>
    <w:rsid w:val="00471F54"/>
    <w:rsid w:val="004770DB"/>
    <w:rsid w:val="004855E0"/>
    <w:rsid w:val="004B77A8"/>
    <w:rsid w:val="004C441E"/>
    <w:rsid w:val="004D0C8E"/>
    <w:rsid w:val="004D6441"/>
    <w:rsid w:val="00500011"/>
    <w:rsid w:val="00507ED6"/>
    <w:rsid w:val="005142EF"/>
    <w:rsid w:val="00523831"/>
    <w:rsid w:val="005270A0"/>
    <w:rsid w:val="00566DC3"/>
    <w:rsid w:val="0059193C"/>
    <w:rsid w:val="00596612"/>
    <w:rsid w:val="005B095D"/>
    <w:rsid w:val="005B6165"/>
    <w:rsid w:val="005B6862"/>
    <w:rsid w:val="005E4BE6"/>
    <w:rsid w:val="005F27A0"/>
    <w:rsid w:val="00605DD3"/>
    <w:rsid w:val="0061630A"/>
    <w:rsid w:val="00631446"/>
    <w:rsid w:val="006529DF"/>
    <w:rsid w:val="00652D4C"/>
    <w:rsid w:val="0067304D"/>
    <w:rsid w:val="00673C98"/>
    <w:rsid w:val="0068038D"/>
    <w:rsid w:val="006846E3"/>
    <w:rsid w:val="00691118"/>
    <w:rsid w:val="0070658B"/>
    <w:rsid w:val="00710402"/>
    <w:rsid w:val="00711FA8"/>
    <w:rsid w:val="0071327F"/>
    <w:rsid w:val="00722994"/>
    <w:rsid w:val="007229D5"/>
    <w:rsid w:val="007420D3"/>
    <w:rsid w:val="00742A9D"/>
    <w:rsid w:val="00747FC9"/>
    <w:rsid w:val="007530F3"/>
    <w:rsid w:val="00771510"/>
    <w:rsid w:val="007741D7"/>
    <w:rsid w:val="00774699"/>
    <w:rsid w:val="007940D8"/>
    <w:rsid w:val="007A12CA"/>
    <w:rsid w:val="007A2C07"/>
    <w:rsid w:val="007A60E1"/>
    <w:rsid w:val="007B0C3C"/>
    <w:rsid w:val="007C313D"/>
    <w:rsid w:val="007D32FE"/>
    <w:rsid w:val="007E5556"/>
    <w:rsid w:val="007F6570"/>
    <w:rsid w:val="00814D08"/>
    <w:rsid w:val="00870B1B"/>
    <w:rsid w:val="00875E76"/>
    <w:rsid w:val="00886A1C"/>
    <w:rsid w:val="008A0407"/>
    <w:rsid w:val="008A4326"/>
    <w:rsid w:val="008A6B11"/>
    <w:rsid w:val="008B19E7"/>
    <w:rsid w:val="008C02C1"/>
    <w:rsid w:val="008F2E61"/>
    <w:rsid w:val="00901619"/>
    <w:rsid w:val="009138F2"/>
    <w:rsid w:val="009151F4"/>
    <w:rsid w:val="00935546"/>
    <w:rsid w:val="009425EF"/>
    <w:rsid w:val="00942690"/>
    <w:rsid w:val="00957507"/>
    <w:rsid w:val="00962D7B"/>
    <w:rsid w:val="0096669B"/>
    <w:rsid w:val="00994616"/>
    <w:rsid w:val="009C3FA3"/>
    <w:rsid w:val="009D4704"/>
    <w:rsid w:val="00A21975"/>
    <w:rsid w:val="00A24D30"/>
    <w:rsid w:val="00A2618A"/>
    <w:rsid w:val="00A374D4"/>
    <w:rsid w:val="00A47CE0"/>
    <w:rsid w:val="00A50C4E"/>
    <w:rsid w:val="00A5408F"/>
    <w:rsid w:val="00A65B6E"/>
    <w:rsid w:val="00A67B3F"/>
    <w:rsid w:val="00A808BA"/>
    <w:rsid w:val="00A954C4"/>
    <w:rsid w:val="00AA3680"/>
    <w:rsid w:val="00AB62DB"/>
    <w:rsid w:val="00AC5983"/>
    <w:rsid w:val="00AC7A50"/>
    <w:rsid w:val="00AE1CF2"/>
    <w:rsid w:val="00AE7887"/>
    <w:rsid w:val="00B2709C"/>
    <w:rsid w:val="00B6079C"/>
    <w:rsid w:val="00B861BF"/>
    <w:rsid w:val="00BC737C"/>
    <w:rsid w:val="00BD7B16"/>
    <w:rsid w:val="00BF4B0A"/>
    <w:rsid w:val="00BF6708"/>
    <w:rsid w:val="00C0285C"/>
    <w:rsid w:val="00C0446A"/>
    <w:rsid w:val="00C141B3"/>
    <w:rsid w:val="00C212A2"/>
    <w:rsid w:val="00C4197B"/>
    <w:rsid w:val="00C51BE9"/>
    <w:rsid w:val="00C51C1E"/>
    <w:rsid w:val="00C94C56"/>
    <w:rsid w:val="00C9616D"/>
    <w:rsid w:val="00CD0BB4"/>
    <w:rsid w:val="00CD573D"/>
    <w:rsid w:val="00CE02E2"/>
    <w:rsid w:val="00CE28F5"/>
    <w:rsid w:val="00CF7728"/>
    <w:rsid w:val="00D15B0F"/>
    <w:rsid w:val="00D16189"/>
    <w:rsid w:val="00D17794"/>
    <w:rsid w:val="00D50BDF"/>
    <w:rsid w:val="00D519F7"/>
    <w:rsid w:val="00D54C28"/>
    <w:rsid w:val="00D6453C"/>
    <w:rsid w:val="00D91250"/>
    <w:rsid w:val="00D95B4E"/>
    <w:rsid w:val="00DA5DDE"/>
    <w:rsid w:val="00DA6DA3"/>
    <w:rsid w:val="00DC662D"/>
    <w:rsid w:val="00E41848"/>
    <w:rsid w:val="00E54ADC"/>
    <w:rsid w:val="00EA7415"/>
    <w:rsid w:val="00EB667D"/>
    <w:rsid w:val="00EB6BED"/>
    <w:rsid w:val="00EC68C4"/>
    <w:rsid w:val="00ED6829"/>
    <w:rsid w:val="00EE1643"/>
    <w:rsid w:val="00EF4EE8"/>
    <w:rsid w:val="00F2038E"/>
    <w:rsid w:val="00F21789"/>
    <w:rsid w:val="00F22BA0"/>
    <w:rsid w:val="00F27327"/>
    <w:rsid w:val="00F364EC"/>
    <w:rsid w:val="00F37852"/>
    <w:rsid w:val="00F41870"/>
    <w:rsid w:val="00F41CA5"/>
    <w:rsid w:val="00F616C1"/>
    <w:rsid w:val="00F62176"/>
    <w:rsid w:val="00F70621"/>
    <w:rsid w:val="00F71F94"/>
    <w:rsid w:val="00F74219"/>
    <w:rsid w:val="00F763AF"/>
    <w:rsid w:val="00F8230C"/>
    <w:rsid w:val="00F93EF3"/>
    <w:rsid w:val="00FB358B"/>
    <w:rsid w:val="00FC5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41DD"/>
  <w15:docId w15:val="{BB83F07C-DD3E-49D0-9489-1148792C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3F8"/>
  </w:style>
  <w:style w:type="paragraph" w:styleId="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"/>
    <w:next w:val="a"/>
    <w:link w:val="10"/>
    <w:qFormat/>
    <w:rsid w:val="009426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basedOn w:val="a0"/>
    <w:link w:val="1"/>
    <w:rsid w:val="00942690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 Indent"/>
    <w:aliases w:val="текст,Основной текст с отступом Знак Знак,Основной текст с отступом Знак Знак Знак"/>
    <w:basedOn w:val="a"/>
    <w:link w:val="a4"/>
    <w:rsid w:val="00942690"/>
    <w:pPr>
      <w:spacing w:before="60"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aliases w:val="текст Знак,Основной текст с отступом Знак Знак Знак1,Основной текст с отступом Знак Знак Знак Знак"/>
    <w:basedOn w:val="a0"/>
    <w:link w:val="a3"/>
    <w:rsid w:val="00942690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942690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6">
    <w:name w:val="Заголовок Знак"/>
    <w:basedOn w:val="a0"/>
    <w:link w:val="a5"/>
    <w:rsid w:val="00942690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7">
    <w:name w:val="Гипертекстовая ссылка"/>
    <w:uiPriority w:val="99"/>
    <w:rsid w:val="00942690"/>
    <w:rPr>
      <w:rFonts w:cs="Times New Roman"/>
      <w:color w:val="008000"/>
    </w:rPr>
  </w:style>
  <w:style w:type="paragraph" w:customStyle="1" w:styleId="ConsPlusNormal">
    <w:name w:val="ConsPlusNormal"/>
    <w:link w:val="ConsPlusNormal0"/>
    <w:uiPriority w:val="99"/>
    <w:rsid w:val="009426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42690"/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rsid w:val="00942690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42690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Body Text"/>
    <w:basedOn w:val="a"/>
    <w:link w:val="a9"/>
    <w:rsid w:val="0094269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942690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942690"/>
    <w:rPr>
      <w:rFonts w:cs="Times New Roman"/>
      <w:color w:val="0563C1"/>
      <w:u w:val="single"/>
    </w:rPr>
  </w:style>
  <w:style w:type="character" w:customStyle="1" w:styleId="ab">
    <w:name w:val="Цветовое выделение"/>
    <w:uiPriority w:val="99"/>
    <w:rsid w:val="00942690"/>
    <w:rPr>
      <w:b/>
      <w:bCs w:val="0"/>
      <w:color w:val="26282F"/>
    </w:rPr>
  </w:style>
  <w:style w:type="paragraph" w:customStyle="1" w:styleId="s1">
    <w:name w:val="s_1"/>
    <w:basedOn w:val="a"/>
    <w:rsid w:val="00942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9">
    <w:name w:val="Font Style89"/>
    <w:rsid w:val="00942690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98">
    <w:name w:val="Font Style98"/>
    <w:rsid w:val="00942690"/>
    <w:rPr>
      <w:rFonts w:ascii="Times New Roman" w:hAnsi="Times New Roman" w:cs="Times New Roman"/>
      <w:sz w:val="20"/>
      <w:szCs w:val="20"/>
    </w:rPr>
  </w:style>
  <w:style w:type="paragraph" w:customStyle="1" w:styleId="Style24">
    <w:name w:val="Style24"/>
    <w:basedOn w:val="a"/>
    <w:rsid w:val="0094269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1"/>
    <w:basedOn w:val="a"/>
    <w:link w:val="12"/>
    <w:qFormat/>
    <w:rsid w:val="00942690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12">
    <w:name w:val="1 Знак"/>
    <w:link w:val="11"/>
    <w:rsid w:val="00942690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Style11">
    <w:name w:val="Style11"/>
    <w:basedOn w:val="a"/>
    <w:rsid w:val="009426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7">
    <w:name w:val="Font Style97"/>
    <w:rsid w:val="00942690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13">
    <w:name w:val="Обычный1"/>
    <w:rsid w:val="009426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20">
    <w:name w:val="Style20"/>
    <w:basedOn w:val="a"/>
    <w:rsid w:val="0094269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710402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7104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Текст выноски Знак"/>
    <w:basedOn w:val="a0"/>
    <w:link w:val="af"/>
    <w:semiHidden/>
    <w:rsid w:val="00710402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semiHidden/>
    <w:rsid w:val="0071040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710402"/>
    <w:rPr>
      <w:rFonts w:ascii="Segoe UI" w:hAnsi="Segoe UI" w:cs="Segoe UI"/>
      <w:sz w:val="18"/>
      <w:szCs w:val="18"/>
    </w:rPr>
  </w:style>
  <w:style w:type="paragraph" w:customStyle="1" w:styleId="FORMATTEXT">
    <w:name w:val=".FORMATTEXT"/>
    <w:uiPriority w:val="99"/>
    <w:rsid w:val="007104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">
    <w:name w:val="Основной шрифт абзаца2"/>
    <w:rsid w:val="00D6453C"/>
  </w:style>
  <w:style w:type="character" w:customStyle="1" w:styleId="ng-binding">
    <w:name w:val="ng-binding"/>
    <w:basedOn w:val="a0"/>
    <w:rsid w:val="00121AA1"/>
  </w:style>
  <w:style w:type="paragraph" w:customStyle="1" w:styleId="Default">
    <w:name w:val="Default"/>
    <w:rsid w:val="006911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4855E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855E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855E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855E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855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6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2240F-2638-493B-87B2-579ACC373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2142</Words>
  <Characters>12215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Алексей Максимов</cp:lastModifiedBy>
  <cp:revision>2</cp:revision>
  <cp:lastPrinted>2020-02-06T09:17:00Z</cp:lastPrinted>
  <dcterms:created xsi:type="dcterms:W3CDTF">2020-04-08T10:32:00Z</dcterms:created>
  <dcterms:modified xsi:type="dcterms:W3CDTF">2020-04-08T10:32:00Z</dcterms:modified>
</cp:coreProperties>
</file>